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62" w:rsidRDefault="006A0F62">
      <w:pPr>
        <w:adjustRightInd/>
        <w:snapToGrid/>
        <w:spacing w:after="0" w:line="560" w:lineRule="exact"/>
        <w:ind w:rightChars="400" w:right="863"/>
        <w:rPr>
          <w:rFonts w:ascii="方正小标宋简体" w:eastAsia="方正小标宋简体" w:hAnsi="宋体" w:cs="Times New Roman"/>
          <w:kern w:val="2"/>
          <w:sz w:val="32"/>
          <w:szCs w:val="32"/>
        </w:rPr>
      </w:pPr>
      <w:bookmarkStart w:id="0" w:name="_Toc352926006"/>
    </w:p>
    <w:bookmarkEnd w:id="0"/>
    <w:p w:rsidR="006A0F62" w:rsidRDefault="00A923BE">
      <w:pPr>
        <w:adjustRightInd/>
        <w:snapToGrid/>
        <w:spacing w:line="560" w:lineRule="exact"/>
        <w:jc w:val="center"/>
        <w:rPr>
          <w:rFonts w:ascii="方正小标宋简体" w:eastAsia="方正小标宋简体" w:hAnsi="宋体" w:cs="Times New Roman"/>
          <w:kern w:val="2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Cs/>
          <w:kern w:val="2"/>
          <w:sz w:val="44"/>
          <w:szCs w:val="44"/>
        </w:rPr>
        <w:t xml:space="preserve"> </w:t>
      </w:r>
      <w:r w:rsidR="00B2158F">
        <w:rPr>
          <w:rFonts w:ascii="方正小标宋简体" w:eastAsia="方正小标宋简体" w:hAnsi="宋体" w:cs="Times New Roman" w:hint="eastAsia"/>
          <w:bCs/>
          <w:kern w:val="2"/>
          <w:sz w:val="44"/>
          <w:szCs w:val="44"/>
        </w:rPr>
        <w:t>“0817”+“化学工程与技术”硕士研究生培养方案</w:t>
      </w:r>
    </w:p>
    <w:p w:rsidR="006A0F62" w:rsidRDefault="00B2158F">
      <w:pPr>
        <w:adjustRightInd/>
        <w:snapToGrid/>
        <w:spacing w:line="560" w:lineRule="exact"/>
        <w:jc w:val="center"/>
        <w:rPr>
          <w:rFonts w:ascii="方正小标宋_GBK" w:eastAsia="方正小标宋_GBK" w:hAnsi="宋体" w:cs="Times New Roman"/>
          <w:kern w:val="2"/>
          <w:sz w:val="32"/>
          <w:szCs w:val="32"/>
        </w:rPr>
      </w:pPr>
      <w:r>
        <w:rPr>
          <w:rFonts w:ascii="方正小标宋_GBK" w:eastAsia="方正小标宋_GBK" w:hAnsi="宋体" w:cs="Times New Roman" w:hint="eastAsia"/>
          <w:kern w:val="2"/>
          <w:sz w:val="32"/>
          <w:szCs w:val="32"/>
        </w:rPr>
        <w:t>（2</w:t>
      </w:r>
      <w:r>
        <w:rPr>
          <w:rFonts w:ascii="方正小标宋_GBK" w:eastAsia="方正小标宋_GBK" w:hAnsi="宋体" w:cs="Times New Roman"/>
          <w:kern w:val="2"/>
          <w:sz w:val="32"/>
          <w:szCs w:val="32"/>
        </w:rPr>
        <w:t>022</w:t>
      </w:r>
      <w:r>
        <w:rPr>
          <w:rFonts w:ascii="方正小标宋_GBK" w:eastAsia="方正小标宋_GBK" w:hAnsi="宋体" w:cs="Times New Roman" w:hint="eastAsia"/>
          <w:kern w:val="2"/>
          <w:sz w:val="32"/>
          <w:szCs w:val="32"/>
        </w:rPr>
        <w:t>级）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一、培养目标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4"/>
        <w:jc w:val="both"/>
        <w:rPr>
          <w:rFonts w:ascii="楷体_GB2312" w:eastAsia="楷体_GB2312" w:hAnsi="黑体" w:cs="Times New Roman"/>
          <w:b/>
          <w:kern w:val="2"/>
          <w:sz w:val="32"/>
          <w:szCs w:val="32"/>
        </w:rPr>
      </w:pPr>
      <w:r>
        <w:rPr>
          <w:rFonts w:ascii="楷体_GB2312" w:eastAsia="楷体_GB2312" w:hAnsi="黑体" w:cs="Times New Roman" w:hint="eastAsia"/>
          <w:b/>
          <w:kern w:val="2"/>
          <w:sz w:val="32"/>
          <w:szCs w:val="32"/>
        </w:rPr>
        <w:t>（一）基本要求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4"/>
        <w:jc w:val="both"/>
        <w:rPr>
          <w:rFonts w:ascii="仿宋_GB2312" w:eastAsia="仿宋_GB2312" w:hAnsi="黑体" w:cs="Times New Roman"/>
          <w:b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kern w:val="2"/>
          <w:sz w:val="32"/>
          <w:szCs w:val="32"/>
        </w:rPr>
        <w:t>1.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德智体美劳全面发展；</w:t>
      </w:r>
      <w:r>
        <w:rPr>
          <w:rFonts w:ascii="仿宋_GB2312" w:eastAsia="仿宋_GB2312" w:hAnsi="黑体" w:cs="Times New Roman" w:hint="eastAsia"/>
          <w:b/>
          <w:kern w:val="2"/>
          <w:sz w:val="32"/>
          <w:szCs w:val="32"/>
        </w:rPr>
        <w:t xml:space="preserve"> 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4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kern w:val="2"/>
          <w:sz w:val="32"/>
          <w:szCs w:val="32"/>
        </w:rPr>
        <w:t>2.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 xml:space="preserve">具有坚定的理想信念、高尚的道德情操，具有严守学术规范的意识、高度的社会责任感和敬业精神； 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4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kern w:val="2"/>
          <w:sz w:val="32"/>
          <w:szCs w:val="32"/>
        </w:rPr>
        <w:t>3.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具有扎实的化学工程与技术基础理论和专业知识，具有一定的从事科学研究和解决实际问题的能力；具有应用外语开展学术研究和学术交流的基本能力；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4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kern w:val="2"/>
          <w:sz w:val="32"/>
          <w:szCs w:val="32"/>
        </w:rPr>
        <w:t>4.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具有到艰苦地区和行业工作的奋斗精神和面对重大疫情、灾害等危机主动作为的奉献精神。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4"/>
        <w:jc w:val="both"/>
        <w:rPr>
          <w:rFonts w:ascii="楷体_GB2312" w:eastAsia="楷体_GB2312" w:hAnsi="黑体" w:cs="Times New Roman"/>
          <w:b/>
          <w:color w:val="000000" w:themeColor="text1"/>
          <w:kern w:val="2"/>
          <w:sz w:val="32"/>
          <w:szCs w:val="32"/>
        </w:rPr>
      </w:pPr>
      <w:r>
        <w:rPr>
          <w:rFonts w:ascii="楷体_GB2312" w:eastAsia="楷体_GB2312" w:hAnsi="黑体" w:cs="Times New Roman" w:hint="eastAsia"/>
          <w:b/>
          <w:color w:val="000000" w:themeColor="text1"/>
          <w:kern w:val="2"/>
          <w:sz w:val="32"/>
          <w:szCs w:val="32"/>
        </w:rPr>
        <w:t>（二）具体要求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二、二级学科和研究方向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color w:val="000000" w:themeColor="text1"/>
          <w:kern w:val="2"/>
          <w:sz w:val="32"/>
          <w:szCs w:val="32"/>
        </w:rPr>
        <w:t>081702  化学工艺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color w:val="000000" w:themeColor="text1"/>
          <w:kern w:val="2"/>
          <w:sz w:val="32"/>
          <w:szCs w:val="32"/>
        </w:rPr>
        <w:t>081704  应用化学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color w:val="000000" w:themeColor="text1"/>
          <w:kern w:val="2"/>
          <w:sz w:val="32"/>
          <w:szCs w:val="32"/>
        </w:rPr>
        <w:t>081705  工业催化</w:t>
      </w:r>
    </w:p>
    <w:p w:rsidR="006A0F62" w:rsidRDefault="00B2158F">
      <w:pPr>
        <w:widowControl w:val="0"/>
        <w:numPr>
          <w:ilvl w:val="0"/>
          <w:numId w:val="1"/>
        </w:numPr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color w:val="000000" w:themeColor="text1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kern w:val="2"/>
          <w:sz w:val="32"/>
          <w:szCs w:val="32"/>
        </w:rPr>
        <w:t>培养方式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培养工作采取导师负责制，建立以导师为主导的指导小组，鼓励组建多学科交叉的跨学科的导师团队。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lastRenderedPageBreak/>
        <w:t>四、学习年限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3年（最长不超过4年）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五、学分要求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总学分不低于30学分。其中：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 xml:space="preserve">1.课程设置不低于24学分，其中公共必修课7学分，公共选修课2学分，专业必修课不低于7学分，专业选修课不低于7学分，跨学科选修课不低于1学分。 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2.实践环节（</w:t>
      </w:r>
      <w:proofErr w:type="gramStart"/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含劳动</w:t>
      </w:r>
      <w:proofErr w:type="gramEnd"/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教育）</w:t>
      </w:r>
      <w:r>
        <w:rPr>
          <w:rFonts w:ascii="仿宋_GB2312" w:eastAsia="仿宋_GB2312" w:hAnsi="黑体" w:cs="Times New Roman"/>
          <w:kern w:val="2"/>
          <w:sz w:val="32"/>
          <w:szCs w:val="32"/>
        </w:rPr>
        <w:t>1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学分。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3.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文献综述与开题报告1学分。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4.中期考核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1学分。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5.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预审读1学分。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6.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学术交流2学分。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六、课程设置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1142"/>
        <w:gridCol w:w="1767"/>
        <w:gridCol w:w="734"/>
        <w:gridCol w:w="719"/>
        <w:gridCol w:w="810"/>
        <w:gridCol w:w="810"/>
        <w:gridCol w:w="1754"/>
      </w:tblGrid>
      <w:tr w:rsidR="006A0F62">
        <w:trPr>
          <w:trHeight w:val="579"/>
          <w:jc w:val="center"/>
        </w:trPr>
        <w:tc>
          <w:tcPr>
            <w:tcW w:w="7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bidi="ar"/>
              </w:rPr>
              <w:t>类别</w:t>
            </w:r>
          </w:p>
        </w:tc>
        <w:tc>
          <w:tcPr>
            <w:tcW w:w="6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bidi="ar"/>
              </w:rPr>
              <w:t>课程编号</w:t>
            </w:r>
          </w:p>
        </w:tc>
        <w:tc>
          <w:tcPr>
            <w:tcW w:w="97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bidi="ar"/>
              </w:rPr>
              <w:t>课程名称</w:t>
            </w:r>
          </w:p>
        </w:tc>
        <w:tc>
          <w:tcPr>
            <w:tcW w:w="40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bidi="ar"/>
              </w:rPr>
              <w:t>学分</w:t>
            </w:r>
          </w:p>
        </w:tc>
        <w:tc>
          <w:tcPr>
            <w:tcW w:w="39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bidi="ar"/>
              </w:rPr>
              <w:t>课时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966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bidi="ar"/>
              </w:rPr>
              <w:t>备注</w:t>
            </w:r>
          </w:p>
        </w:tc>
      </w:tr>
      <w:tr w:rsidR="006A0F62">
        <w:trPr>
          <w:trHeight w:val="521"/>
          <w:jc w:val="center"/>
        </w:trPr>
        <w:tc>
          <w:tcPr>
            <w:tcW w:w="7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公共必修课</w:t>
            </w:r>
          </w:p>
        </w:tc>
        <w:tc>
          <w:tcPr>
            <w:tcW w:w="6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000S1131</w:t>
            </w:r>
          </w:p>
        </w:tc>
        <w:tc>
          <w:tcPr>
            <w:tcW w:w="97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新时代中国特色社会主义理论与实践</w:t>
            </w:r>
          </w:p>
        </w:tc>
        <w:tc>
          <w:tcPr>
            <w:tcW w:w="40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39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考试</w:t>
            </w:r>
          </w:p>
        </w:tc>
        <w:tc>
          <w:tcPr>
            <w:tcW w:w="966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A0F62">
        <w:trPr>
          <w:trHeight w:val="521"/>
          <w:jc w:val="center"/>
        </w:trPr>
        <w:tc>
          <w:tcPr>
            <w:tcW w:w="7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公共必修课</w:t>
            </w:r>
          </w:p>
        </w:tc>
        <w:tc>
          <w:tcPr>
            <w:tcW w:w="6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000S1112</w:t>
            </w:r>
          </w:p>
        </w:tc>
        <w:tc>
          <w:tcPr>
            <w:tcW w:w="97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马克思主义与社会科学方法论</w:t>
            </w:r>
          </w:p>
        </w:tc>
        <w:tc>
          <w:tcPr>
            <w:tcW w:w="40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9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18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考试</w:t>
            </w:r>
          </w:p>
        </w:tc>
        <w:tc>
          <w:tcPr>
            <w:tcW w:w="966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A0F62">
        <w:trPr>
          <w:trHeight w:val="521"/>
          <w:jc w:val="center"/>
        </w:trPr>
        <w:tc>
          <w:tcPr>
            <w:tcW w:w="730" w:type="pct"/>
            <w:vAlign w:val="center"/>
          </w:tcPr>
          <w:p w:rsidR="006A0F62" w:rsidRDefault="00B2158F" w:rsidP="003E4049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公共</w:t>
            </w:r>
            <w:r w:rsidR="003E4049"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必修</w:t>
            </w: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课</w:t>
            </w:r>
          </w:p>
        </w:tc>
        <w:tc>
          <w:tcPr>
            <w:tcW w:w="6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000S1101</w:t>
            </w:r>
          </w:p>
        </w:tc>
        <w:tc>
          <w:tcPr>
            <w:tcW w:w="97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硕士英语（一）</w:t>
            </w:r>
          </w:p>
        </w:tc>
        <w:tc>
          <w:tcPr>
            <w:tcW w:w="40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39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考试</w:t>
            </w:r>
          </w:p>
        </w:tc>
        <w:tc>
          <w:tcPr>
            <w:tcW w:w="966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符合相关规定可申请免修</w:t>
            </w:r>
          </w:p>
        </w:tc>
      </w:tr>
      <w:tr w:rsidR="006A0F62">
        <w:trPr>
          <w:trHeight w:val="521"/>
          <w:jc w:val="center"/>
        </w:trPr>
        <w:tc>
          <w:tcPr>
            <w:tcW w:w="730" w:type="pct"/>
            <w:vAlign w:val="center"/>
          </w:tcPr>
          <w:p w:rsidR="006A0F62" w:rsidRDefault="00B2158F" w:rsidP="003E4049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公共</w:t>
            </w:r>
            <w:r w:rsidR="003E4049"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必修</w:t>
            </w:r>
            <w:bookmarkStart w:id="1" w:name="_GoBack"/>
            <w:bookmarkEnd w:id="1"/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课</w:t>
            </w:r>
          </w:p>
        </w:tc>
        <w:tc>
          <w:tcPr>
            <w:tcW w:w="6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000S1102</w:t>
            </w:r>
          </w:p>
        </w:tc>
        <w:tc>
          <w:tcPr>
            <w:tcW w:w="97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硕士英语（二）</w:t>
            </w:r>
          </w:p>
        </w:tc>
        <w:tc>
          <w:tcPr>
            <w:tcW w:w="40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39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考试</w:t>
            </w:r>
          </w:p>
        </w:tc>
        <w:tc>
          <w:tcPr>
            <w:tcW w:w="966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符合相关规定可</w:t>
            </w: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lastRenderedPageBreak/>
              <w:t>申请免修</w:t>
            </w:r>
          </w:p>
        </w:tc>
      </w:tr>
      <w:tr w:rsidR="006A0F62">
        <w:trPr>
          <w:trHeight w:val="521"/>
          <w:jc w:val="center"/>
        </w:trPr>
        <w:tc>
          <w:tcPr>
            <w:tcW w:w="7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Cs/>
                <w:sz w:val="22"/>
                <w:szCs w:val="22"/>
                <w:lang w:bidi="ar"/>
              </w:rPr>
              <w:lastRenderedPageBreak/>
              <w:t>公共选修课</w:t>
            </w:r>
          </w:p>
        </w:tc>
        <w:tc>
          <w:tcPr>
            <w:tcW w:w="630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975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05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397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1-2</w:t>
            </w:r>
          </w:p>
        </w:tc>
        <w:tc>
          <w:tcPr>
            <w:tcW w:w="447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966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A0F62">
        <w:trPr>
          <w:trHeight w:val="521"/>
          <w:jc w:val="center"/>
        </w:trPr>
        <w:tc>
          <w:tcPr>
            <w:tcW w:w="7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Cs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6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016S2127</w:t>
            </w:r>
          </w:p>
        </w:tc>
        <w:tc>
          <w:tcPr>
            <w:tcW w:w="97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化工科技论文写作方法</w:t>
            </w:r>
          </w:p>
        </w:tc>
        <w:tc>
          <w:tcPr>
            <w:tcW w:w="40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9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18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447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966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全体必修课</w:t>
            </w:r>
          </w:p>
        </w:tc>
      </w:tr>
      <w:tr w:rsidR="006A0F62">
        <w:trPr>
          <w:trHeight w:val="521"/>
          <w:jc w:val="center"/>
        </w:trPr>
        <w:tc>
          <w:tcPr>
            <w:tcW w:w="7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Cs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6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016S2128</w:t>
            </w:r>
          </w:p>
        </w:tc>
        <w:tc>
          <w:tcPr>
            <w:tcW w:w="97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材料结构与性能分析</w:t>
            </w:r>
          </w:p>
        </w:tc>
        <w:tc>
          <w:tcPr>
            <w:tcW w:w="40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39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447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966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研究方法类</w:t>
            </w:r>
            <w:r w:rsidR="00A923BE"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/必选课</w:t>
            </w:r>
          </w:p>
        </w:tc>
      </w:tr>
      <w:tr w:rsidR="006A0F62">
        <w:trPr>
          <w:trHeight w:val="521"/>
          <w:jc w:val="center"/>
        </w:trPr>
        <w:tc>
          <w:tcPr>
            <w:tcW w:w="7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Cs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6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016S2109</w:t>
            </w:r>
          </w:p>
        </w:tc>
        <w:tc>
          <w:tcPr>
            <w:tcW w:w="97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化学工艺学</w:t>
            </w:r>
          </w:p>
        </w:tc>
        <w:tc>
          <w:tcPr>
            <w:tcW w:w="40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39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447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966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A0F62">
        <w:trPr>
          <w:trHeight w:val="521"/>
          <w:jc w:val="center"/>
        </w:trPr>
        <w:tc>
          <w:tcPr>
            <w:tcW w:w="7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Cs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6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016S2110</w:t>
            </w:r>
          </w:p>
        </w:tc>
        <w:tc>
          <w:tcPr>
            <w:tcW w:w="97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化学反应工程</w:t>
            </w:r>
          </w:p>
        </w:tc>
        <w:tc>
          <w:tcPr>
            <w:tcW w:w="40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39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447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966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A0F62">
        <w:trPr>
          <w:trHeight w:val="521"/>
          <w:jc w:val="center"/>
        </w:trPr>
        <w:tc>
          <w:tcPr>
            <w:tcW w:w="7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Cs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6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016S2129</w:t>
            </w:r>
          </w:p>
        </w:tc>
        <w:tc>
          <w:tcPr>
            <w:tcW w:w="97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工业催化技术</w:t>
            </w:r>
          </w:p>
        </w:tc>
        <w:tc>
          <w:tcPr>
            <w:tcW w:w="40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39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447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966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A0F62">
        <w:trPr>
          <w:trHeight w:val="521"/>
          <w:jc w:val="center"/>
        </w:trPr>
        <w:tc>
          <w:tcPr>
            <w:tcW w:w="7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专业选修课</w:t>
            </w:r>
          </w:p>
        </w:tc>
        <w:tc>
          <w:tcPr>
            <w:tcW w:w="6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T16S3239</w:t>
            </w:r>
          </w:p>
        </w:tc>
        <w:tc>
          <w:tcPr>
            <w:tcW w:w="97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体育类课程</w:t>
            </w:r>
          </w:p>
        </w:tc>
        <w:tc>
          <w:tcPr>
            <w:tcW w:w="40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9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18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1-3</w:t>
            </w:r>
          </w:p>
        </w:tc>
        <w:tc>
          <w:tcPr>
            <w:tcW w:w="447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966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必选</w:t>
            </w:r>
          </w:p>
        </w:tc>
      </w:tr>
      <w:tr w:rsidR="006A0F62">
        <w:trPr>
          <w:trHeight w:val="521"/>
          <w:jc w:val="center"/>
        </w:trPr>
        <w:tc>
          <w:tcPr>
            <w:tcW w:w="7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专业选修课</w:t>
            </w:r>
          </w:p>
        </w:tc>
        <w:tc>
          <w:tcPr>
            <w:tcW w:w="630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97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公共艺术类课程</w:t>
            </w:r>
          </w:p>
        </w:tc>
        <w:tc>
          <w:tcPr>
            <w:tcW w:w="40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39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1-2</w:t>
            </w:r>
          </w:p>
        </w:tc>
        <w:tc>
          <w:tcPr>
            <w:tcW w:w="447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966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必选</w:t>
            </w:r>
          </w:p>
        </w:tc>
      </w:tr>
      <w:tr w:rsidR="006A0F62">
        <w:trPr>
          <w:trHeight w:val="521"/>
          <w:jc w:val="center"/>
        </w:trPr>
        <w:tc>
          <w:tcPr>
            <w:tcW w:w="7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专业选修课</w:t>
            </w:r>
          </w:p>
        </w:tc>
        <w:tc>
          <w:tcPr>
            <w:tcW w:w="630" w:type="pct"/>
            <w:vAlign w:val="center"/>
          </w:tcPr>
          <w:p w:rsidR="006A0F62" w:rsidRDefault="00B2158F" w:rsidP="004253A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016S323</w:t>
            </w:r>
            <w:r w:rsidR="004253AF"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8</w:t>
            </w:r>
          </w:p>
        </w:tc>
        <w:tc>
          <w:tcPr>
            <w:tcW w:w="97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多相催化研究中的色谱技术</w:t>
            </w:r>
          </w:p>
        </w:tc>
        <w:tc>
          <w:tcPr>
            <w:tcW w:w="40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39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447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966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A0F62">
        <w:trPr>
          <w:trHeight w:val="521"/>
          <w:jc w:val="center"/>
        </w:trPr>
        <w:tc>
          <w:tcPr>
            <w:tcW w:w="7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专业选修课</w:t>
            </w:r>
          </w:p>
        </w:tc>
        <w:tc>
          <w:tcPr>
            <w:tcW w:w="630" w:type="pct"/>
            <w:vAlign w:val="center"/>
          </w:tcPr>
          <w:p w:rsidR="006A0F62" w:rsidRDefault="00B2158F" w:rsidP="004253A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016S323</w:t>
            </w:r>
            <w:r w:rsidR="004253AF"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9</w:t>
            </w:r>
          </w:p>
        </w:tc>
        <w:tc>
          <w:tcPr>
            <w:tcW w:w="97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 xml:space="preserve">催化剂设计与制备 </w:t>
            </w:r>
          </w:p>
        </w:tc>
        <w:tc>
          <w:tcPr>
            <w:tcW w:w="40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39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447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447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966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A0F62">
        <w:trPr>
          <w:trHeight w:val="521"/>
          <w:jc w:val="center"/>
        </w:trPr>
        <w:tc>
          <w:tcPr>
            <w:tcW w:w="730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专业选修课</w:t>
            </w:r>
          </w:p>
        </w:tc>
        <w:tc>
          <w:tcPr>
            <w:tcW w:w="630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975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国内外高水平大学MOOC课程</w:t>
            </w:r>
          </w:p>
        </w:tc>
        <w:tc>
          <w:tcPr>
            <w:tcW w:w="405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397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47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47" w:type="pct"/>
            <w:vAlign w:val="center"/>
          </w:tcPr>
          <w:p w:rsidR="006A0F62" w:rsidRDefault="006A0F6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966" w:type="pct"/>
            <w:vAlign w:val="center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课程在导师指导下选修，获结业证书者由学院审定学分</w:t>
            </w:r>
          </w:p>
        </w:tc>
      </w:tr>
      <w:tr w:rsidR="006A0F62">
        <w:trPr>
          <w:trHeight w:val="521"/>
          <w:jc w:val="center"/>
        </w:trPr>
        <w:tc>
          <w:tcPr>
            <w:tcW w:w="730" w:type="pct"/>
            <w:vAlign w:val="center"/>
          </w:tcPr>
          <w:p w:rsidR="006A0F62" w:rsidRDefault="00B2158F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其他要求</w:t>
            </w:r>
          </w:p>
        </w:tc>
        <w:tc>
          <w:tcPr>
            <w:tcW w:w="4269" w:type="pct"/>
            <w:gridSpan w:val="7"/>
          </w:tcPr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both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在化学工程与技术学科以外其他学科至少选修1学分课程；</w:t>
            </w:r>
          </w:p>
          <w:p w:rsidR="006A0F62" w:rsidRDefault="00B2158F">
            <w:pPr>
              <w:pStyle w:val="a5"/>
              <w:widowControl/>
              <w:spacing w:beforeAutospacing="0" w:afterAutospacing="0" w:line="520" w:lineRule="exact"/>
              <w:jc w:val="both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选修多门跨学科课程的，可按专业选修课认定学分。</w:t>
            </w:r>
          </w:p>
        </w:tc>
      </w:tr>
    </w:tbl>
    <w:p w:rsidR="006A0F62" w:rsidRDefault="00B2158F">
      <w:pPr>
        <w:widowControl w:val="0"/>
        <w:numPr>
          <w:ilvl w:val="0"/>
          <w:numId w:val="2"/>
        </w:numPr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实践环节</w:t>
      </w:r>
      <w:r w:rsidR="008A3704">
        <w:rPr>
          <w:rFonts w:ascii="黑体" w:eastAsia="黑体" w:hAnsi="黑体" w:cs="Times New Roman" w:hint="eastAsia"/>
          <w:kern w:val="2"/>
          <w:sz w:val="32"/>
          <w:szCs w:val="32"/>
        </w:rPr>
        <w:t>（</w:t>
      </w:r>
      <w:proofErr w:type="gramStart"/>
      <w:r w:rsidR="008A3704">
        <w:rPr>
          <w:rFonts w:ascii="黑体" w:eastAsia="黑体" w:hAnsi="黑体" w:cs="Times New Roman" w:hint="eastAsia"/>
          <w:kern w:val="2"/>
          <w:sz w:val="32"/>
          <w:szCs w:val="32"/>
        </w:rPr>
        <w:t>含劳动</w:t>
      </w:r>
      <w:proofErr w:type="gramEnd"/>
      <w:r w:rsidR="008A3704">
        <w:rPr>
          <w:rFonts w:ascii="黑体" w:eastAsia="黑体" w:hAnsi="黑体" w:cs="Times New Roman" w:hint="eastAsia"/>
          <w:kern w:val="2"/>
          <w:sz w:val="32"/>
          <w:szCs w:val="32"/>
        </w:rPr>
        <w:t>教育）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硕士研究生参加助研助管助教、勤工俭学、“三下乡”、专业特色活动、专业实践、社会实践、“互联网+”“挑战杯”等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lastRenderedPageBreak/>
        <w:t>创新创业活动、竞赛、各类学术会议志愿者等劳动教育实践活动。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ab/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第一至四学期进行；具体考核办法按照《化学化工学院劳动实践考核办法》实施；提交《研究生实践考核表》，考核通过计1学分。</w:t>
      </w:r>
    </w:p>
    <w:p w:rsidR="006A0F62" w:rsidRDefault="00B2158F">
      <w:pPr>
        <w:widowControl w:val="0"/>
        <w:numPr>
          <w:ilvl w:val="0"/>
          <w:numId w:val="2"/>
        </w:numPr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学术交流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研究生必须在所在二级学科学术论坛做学术报告1次；研究生参加学院或学校组织相关学术讲座不少于20次；研究生在读期间，至少参加国内或国际学术会议1次。具体管理办法详见《陕西师范大学化学化工学院研究生学术活动规定》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ab/>
        <w:t>第一至四学期进行；此环节为必修环节；考核合格后计2学分。</w:t>
      </w:r>
    </w:p>
    <w:p w:rsidR="006A0F62" w:rsidRDefault="00B2158F">
      <w:pPr>
        <w:widowControl w:val="0"/>
        <w:numPr>
          <w:ilvl w:val="0"/>
          <w:numId w:val="2"/>
        </w:numPr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开题报告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开题报告是研究生学位论文工作的重要环节，是保证学位论文进度和质量的前提。具体内容及要求详见《陕西师范大学化学化工学院关于研究生学位论文开题报告的规定》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ab/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第二学期6-8月进行；此环节为必修环节；开题报告评审通过计1学分。</w:t>
      </w:r>
    </w:p>
    <w:p w:rsidR="006A0F62" w:rsidRDefault="00B2158F">
      <w:pPr>
        <w:widowControl w:val="0"/>
        <w:numPr>
          <w:ilvl w:val="0"/>
          <w:numId w:val="2"/>
        </w:numPr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中期考核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硕士研究生需在完成开题报告半年内进行中期考核。具体管理办法详见《陕西师范大学化学化工学院研究生中期考核相关规定》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ab/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lastRenderedPageBreak/>
        <w:t>第三学期11-12月进行；此环节为必修环节；中期考核通过计1学分。</w:t>
      </w:r>
    </w:p>
    <w:p w:rsidR="006A0F62" w:rsidRDefault="00B2158F">
      <w:pPr>
        <w:widowControl w:val="0"/>
        <w:numPr>
          <w:ilvl w:val="0"/>
          <w:numId w:val="2"/>
        </w:numPr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预审读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硕士学位论文的预审</w:t>
      </w:r>
      <w:proofErr w:type="gramStart"/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读工作</w:t>
      </w:r>
      <w:proofErr w:type="gramEnd"/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是在完成所有预定的论文工作内容和学位论文初稿撰写之后，在论文正式提交评阅之前进行的审查过程。负责预审读的教师应针对论文中存在的问题提出修改意见，填写《陕西师范大学硕士学位论文预审读简表》。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ab/>
        <w:t>第五学期11-12月进行；预审读通过论文方可参加送审；预审读通过计1学分。</w:t>
      </w:r>
    </w:p>
    <w:p w:rsidR="006A0F62" w:rsidRDefault="00B2158F">
      <w:pPr>
        <w:widowControl w:val="0"/>
        <w:numPr>
          <w:ilvl w:val="0"/>
          <w:numId w:val="2"/>
        </w:numPr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学位论文答辩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学位论文答辩申请及答辩要求按学校及学院有关规定执行。</w:t>
      </w:r>
    </w:p>
    <w:p w:rsidR="006A0F62" w:rsidRDefault="00B2158F">
      <w:pPr>
        <w:widowControl w:val="0"/>
        <w:numPr>
          <w:ilvl w:val="0"/>
          <w:numId w:val="2"/>
        </w:numPr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毕业与学位授予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毕业和授予学位标准按学校及学院有关规定执行。</w:t>
      </w:r>
    </w:p>
    <w:p w:rsidR="006A0F62" w:rsidRDefault="00B2158F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十四、本学科主要文献、目录及刊物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896"/>
        <w:gridCol w:w="2547"/>
        <w:gridCol w:w="1800"/>
      </w:tblGrid>
      <w:tr w:rsidR="006A0F62">
        <w:trPr>
          <w:trHeight w:val="711"/>
        </w:trPr>
        <w:tc>
          <w:tcPr>
            <w:tcW w:w="817" w:type="dxa"/>
            <w:vAlign w:val="center"/>
          </w:tcPr>
          <w:p w:rsidR="006A0F62" w:rsidRDefault="00B2158F">
            <w:pPr>
              <w:widowControl w:val="0"/>
              <w:adjustRightInd/>
              <w:spacing w:after="0" w:line="340" w:lineRule="exact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3896" w:type="dxa"/>
            <w:vAlign w:val="center"/>
          </w:tcPr>
          <w:p w:rsidR="006A0F62" w:rsidRDefault="00B2158F">
            <w:pPr>
              <w:widowControl w:val="0"/>
              <w:adjustRightInd/>
              <w:spacing w:after="0" w:line="340" w:lineRule="exact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著作或期刊名称</w:t>
            </w:r>
          </w:p>
        </w:tc>
        <w:tc>
          <w:tcPr>
            <w:tcW w:w="2547" w:type="dxa"/>
            <w:vAlign w:val="center"/>
          </w:tcPr>
          <w:p w:rsidR="006A0F62" w:rsidRDefault="00B2158F">
            <w:pPr>
              <w:widowControl w:val="0"/>
              <w:adjustRightInd/>
              <w:spacing w:after="0" w:line="340" w:lineRule="exact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作者</w:t>
            </w:r>
          </w:p>
        </w:tc>
        <w:tc>
          <w:tcPr>
            <w:tcW w:w="1800" w:type="dxa"/>
            <w:vAlign w:val="center"/>
          </w:tcPr>
          <w:p w:rsidR="006A0F62" w:rsidRDefault="00B2158F">
            <w:pPr>
              <w:widowControl w:val="0"/>
              <w:adjustRightInd/>
              <w:spacing w:after="0" w:line="340" w:lineRule="exact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备注</w:t>
            </w:r>
          </w:p>
          <w:p w:rsidR="006A0F62" w:rsidRDefault="00B2158F">
            <w:pPr>
              <w:widowControl w:val="0"/>
              <w:adjustRightInd/>
              <w:spacing w:after="0" w:line="340" w:lineRule="exact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（选读/必读）</w:t>
            </w:r>
          </w:p>
        </w:tc>
      </w:tr>
      <w:tr w:rsidR="006A0F62">
        <w:trPr>
          <w:trHeight w:val="574"/>
        </w:trPr>
        <w:tc>
          <w:tcPr>
            <w:tcW w:w="817" w:type="dxa"/>
          </w:tcPr>
          <w:p w:rsidR="006A0F62" w:rsidRDefault="00B2158F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896" w:type="dxa"/>
            <w:vAlign w:val="center"/>
          </w:tcPr>
          <w:p w:rsidR="006A0F62" w:rsidRDefault="00B2158F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催化作用基础</w:t>
            </w:r>
          </w:p>
        </w:tc>
        <w:tc>
          <w:tcPr>
            <w:tcW w:w="2547" w:type="dxa"/>
            <w:vAlign w:val="center"/>
          </w:tcPr>
          <w:p w:rsidR="006A0F62" w:rsidRDefault="00B2158F">
            <w:pPr>
              <w:shd w:val="clear" w:color="auto" w:fill="FFFFFF"/>
              <w:spacing w:line="57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333333"/>
                <w:kern w:val="36"/>
                <w:sz w:val="36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甄开吉</w:t>
            </w:r>
          </w:p>
          <w:p w:rsidR="006A0F62" w:rsidRDefault="006A0F62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A0F62" w:rsidRDefault="00B2158F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必读</w:t>
            </w:r>
          </w:p>
        </w:tc>
      </w:tr>
      <w:tr w:rsidR="006A0F62">
        <w:trPr>
          <w:trHeight w:val="586"/>
        </w:trPr>
        <w:tc>
          <w:tcPr>
            <w:tcW w:w="817" w:type="dxa"/>
          </w:tcPr>
          <w:p w:rsidR="006A0F62" w:rsidRDefault="00B2158F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896" w:type="dxa"/>
            <w:vAlign w:val="center"/>
          </w:tcPr>
          <w:p w:rsidR="006A0F62" w:rsidRDefault="00B2158F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化学反应工程</w:t>
            </w:r>
          </w:p>
        </w:tc>
        <w:tc>
          <w:tcPr>
            <w:tcW w:w="2547" w:type="dxa"/>
            <w:vAlign w:val="center"/>
          </w:tcPr>
          <w:p w:rsidR="006A0F62" w:rsidRDefault="00B2158F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]Fogler H.Scott</w:t>
            </w:r>
          </w:p>
        </w:tc>
        <w:tc>
          <w:tcPr>
            <w:tcW w:w="1800" w:type="dxa"/>
            <w:vAlign w:val="center"/>
          </w:tcPr>
          <w:p w:rsidR="006A0F62" w:rsidRDefault="00B2158F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必读</w:t>
            </w:r>
          </w:p>
        </w:tc>
      </w:tr>
    </w:tbl>
    <w:p w:rsidR="006A0F62" w:rsidRDefault="006A0F62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</w:p>
    <w:sectPr w:rsidR="006A0F62">
      <w:footerReference w:type="even" r:id="rId8"/>
      <w:footerReference w:type="default" r:id="rId9"/>
      <w:pgSz w:w="11906" w:h="16838"/>
      <w:pgMar w:top="2098" w:right="1474" w:bottom="1985" w:left="1588" w:header="851" w:footer="1531" w:gutter="0"/>
      <w:cols w:space="425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BE" w:rsidRDefault="004025BE">
      <w:r>
        <w:separator/>
      </w:r>
    </w:p>
  </w:endnote>
  <w:endnote w:type="continuationSeparator" w:id="0">
    <w:p w:rsidR="004025BE" w:rsidRDefault="0040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62" w:rsidRDefault="00B2158F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0F62" w:rsidRDefault="006A0F6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055008"/>
    </w:sdtPr>
    <w:sdtEndPr/>
    <w:sdtContent>
      <w:p w:rsidR="006A0F62" w:rsidRDefault="00B215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049" w:rsidRPr="003E4049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BE" w:rsidRDefault="004025BE">
      <w:pPr>
        <w:spacing w:after="0"/>
      </w:pPr>
      <w:r>
        <w:separator/>
      </w:r>
    </w:p>
  </w:footnote>
  <w:footnote w:type="continuationSeparator" w:id="0">
    <w:p w:rsidR="004025BE" w:rsidRDefault="004025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129481"/>
    <w:multiLevelType w:val="singleLevel"/>
    <w:tmpl w:val="AB129481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4CF7AE"/>
    <w:multiLevelType w:val="singleLevel"/>
    <w:tmpl w:val="564CF7A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N2I1YTBmNTM1ZjU5ZjAwODY5NDVmNDBjMGNjYzQifQ=="/>
  </w:docVars>
  <w:rsids>
    <w:rsidRoot w:val="00D31D50"/>
    <w:rsid w:val="000C1A93"/>
    <w:rsid w:val="000E5BC8"/>
    <w:rsid w:val="00114713"/>
    <w:rsid w:val="001739AF"/>
    <w:rsid w:val="00186D04"/>
    <w:rsid w:val="001D6ADE"/>
    <w:rsid w:val="00200F56"/>
    <w:rsid w:val="00206376"/>
    <w:rsid w:val="00276214"/>
    <w:rsid w:val="00297EC0"/>
    <w:rsid w:val="002B5D46"/>
    <w:rsid w:val="002F0550"/>
    <w:rsid w:val="00323B43"/>
    <w:rsid w:val="00324B55"/>
    <w:rsid w:val="0033021F"/>
    <w:rsid w:val="00370D55"/>
    <w:rsid w:val="003825F9"/>
    <w:rsid w:val="003D37D8"/>
    <w:rsid w:val="003D4E53"/>
    <w:rsid w:val="003E08F8"/>
    <w:rsid w:val="003E4049"/>
    <w:rsid w:val="003E6D6F"/>
    <w:rsid w:val="004025BE"/>
    <w:rsid w:val="004253AF"/>
    <w:rsid w:val="00426133"/>
    <w:rsid w:val="004358AB"/>
    <w:rsid w:val="004459C1"/>
    <w:rsid w:val="004673EC"/>
    <w:rsid w:val="00491D38"/>
    <w:rsid w:val="004D3856"/>
    <w:rsid w:val="004F7533"/>
    <w:rsid w:val="0050488D"/>
    <w:rsid w:val="0059496E"/>
    <w:rsid w:val="005F0545"/>
    <w:rsid w:val="005F50D8"/>
    <w:rsid w:val="00620414"/>
    <w:rsid w:val="00641D79"/>
    <w:rsid w:val="0067051D"/>
    <w:rsid w:val="006731A1"/>
    <w:rsid w:val="00677794"/>
    <w:rsid w:val="00691DA7"/>
    <w:rsid w:val="006A0F62"/>
    <w:rsid w:val="00762A02"/>
    <w:rsid w:val="00781EC3"/>
    <w:rsid w:val="00782FD7"/>
    <w:rsid w:val="00793F3E"/>
    <w:rsid w:val="008074ED"/>
    <w:rsid w:val="00832E3E"/>
    <w:rsid w:val="008442FD"/>
    <w:rsid w:val="008755D1"/>
    <w:rsid w:val="00884088"/>
    <w:rsid w:val="008A3704"/>
    <w:rsid w:val="008B37D9"/>
    <w:rsid w:val="008B7726"/>
    <w:rsid w:val="008F176C"/>
    <w:rsid w:val="008F3F59"/>
    <w:rsid w:val="009048C2"/>
    <w:rsid w:val="00994845"/>
    <w:rsid w:val="009D6A20"/>
    <w:rsid w:val="00A923BE"/>
    <w:rsid w:val="00AE402B"/>
    <w:rsid w:val="00B2158F"/>
    <w:rsid w:val="00B25D97"/>
    <w:rsid w:val="00B31E7C"/>
    <w:rsid w:val="00C676CA"/>
    <w:rsid w:val="00CB147C"/>
    <w:rsid w:val="00CC0B34"/>
    <w:rsid w:val="00CC6640"/>
    <w:rsid w:val="00D276ED"/>
    <w:rsid w:val="00D31D50"/>
    <w:rsid w:val="00E14AEB"/>
    <w:rsid w:val="00E62D14"/>
    <w:rsid w:val="00EC1D41"/>
    <w:rsid w:val="00ED794D"/>
    <w:rsid w:val="00EF3448"/>
    <w:rsid w:val="00F11ED6"/>
    <w:rsid w:val="00F72E39"/>
    <w:rsid w:val="00F9449B"/>
    <w:rsid w:val="00FC15AD"/>
    <w:rsid w:val="00FC4A68"/>
    <w:rsid w:val="00FC5D91"/>
    <w:rsid w:val="00FC7C87"/>
    <w:rsid w:val="13935860"/>
    <w:rsid w:val="1DD12E61"/>
    <w:rsid w:val="2A392D2E"/>
    <w:rsid w:val="3CEA2EBC"/>
    <w:rsid w:val="4BF929C9"/>
    <w:rsid w:val="5F44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 w:val="0"/>
      <w:adjustRightInd/>
      <w:snapToGrid/>
      <w:spacing w:beforeAutospacing="1" w:after="0" w:afterAutospacing="1"/>
    </w:pPr>
    <w:rPr>
      <w:rFonts w:ascii="Calibri" w:eastAsia="宋体" w:hAnsi="Calibri" w:cs="Times New Roman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customStyle="1" w:styleId="Char1">
    <w:name w:val="Char"/>
    <w:basedOn w:val="a"/>
    <w:qFormat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4253AF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253A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 w:val="0"/>
      <w:adjustRightInd/>
      <w:snapToGrid/>
      <w:spacing w:beforeAutospacing="1" w:after="0" w:afterAutospacing="1"/>
    </w:pPr>
    <w:rPr>
      <w:rFonts w:ascii="Calibri" w:eastAsia="宋体" w:hAnsi="Calibri" w:cs="Times New Roman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customStyle="1" w:styleId="Char1">
    <w:name w:val="Char"/>
    <w:basedOn w:val="a"/>
    <w:qFormat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4253AF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253A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</cp:revision>
  <cp:lastPrinted>2022-09-07T01:50:00Z</cp:lastPrinted>
  <dcterms:created xsi:type="dcterms:W3CDTF">2022-07-11T06:40:00Z</dcterms:created>
  <dcterms:modified xsi:type="dcterms:W3CDTF">2022-11-02T02:13:00Z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29DE8ED950CE4431A9B10388E18A1C75</vt:lpwstr>
  </property>
</Properties>
</file>